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BD7" w:rsidRDefault="00472BD7" w:rsidP="00472BD7">
      <w:pPr>
        <w:spacing w:line="360" w:lineRule="auto"/>
        <w:ind w:firstLine="709"/>
        <w:jc w:val="right"/>
        <w:rPr>
          <w:rFonts w:ascii="Century" w:hAnsi="Century"/>
        </w:rPr>
      </w:pPr>
      <w:bookmarkStart w:id="0" w:name="_GoBack"/>
      <w:bookmarkEnd w:id="0"/>
      <w:r>
        <w:rPr>
          <w:rFonts w:ascii="Century" w:hAnsi="Century"/>
        </w:rPr>
        <w:t xml:space="preserve">EXPEDIENTE NÚMERO </w:t>
      </w:r>
      <w:r>
        <w:rPr>
          <w:rFonts w:ascii="Century" w:hAnsi="Century"/>
          <w:b/>
        </w:rPr>
        <w:t>0214/2014-JN</w:t>
      </w:r>
    </w:p>
    <w:p w:rsidR="00472BD7" w:rsidRDefault="00472BD7" w:rsidP="00472BD7">
      <w:pPr>
        <w:spacing w:line="360" w:lineRule="auto"/>
        <w:ind w:firstLine="709"/>
        <w:jc w:val="both"/>
        <w:rPr>
          <w:rFonts w:ascii="Century" w:hAnsi="Century"/>
        </w:rPr>
      </w:pPr>
    </w:p>
    <w:p w:rsidR="00472BD7" w:rsidRDefault="00472BD7" w:rsidP="00472BD7">
      <w:pPr>
        <w:spacing w:line="360" w:lineRule="auto"/>
        <w:ind w:firstLine="709"/>
        <w:jc w:val="both"/>
        <w:rPr>
          <w:rFonts w:ascii="Century" w:hAnsi="Century"/>
        </w:rPr>
      </w:pPr>
      <w:r>
        <w:rPr>
          <w:rFonts w:ascii="Century" w:hAnsi="Century"/>
        </w:rPr>
        <w:t xml:space="preserve">León, Guanajuato, a 1° primero de diciembre del año 2017 dos mil diecisiete. </w:t>
      </w:r>
    </w:p>
    <w:p w:rsidR="00472BD7" w:rsidRDefault="00472BD7" w:rsidP="00472BD7">
      <w:pPr>
        <w:spacing w:line="360" w:lineRule="auto"/>
        <w:ind w:firstLine="709"/>
        <w:jc w:val="both"/>
        <w:rPr>
          <w:rFonts w:ascii="Century" w:hAnsi="Century"/>
        </w:rPr>
      </w:pPr>
    </w:p>
    <w:p w:rsidR="00472BD7" w:rsidRDefault="00472BD7" w:rsidP="00472BD7">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0214/2014-JN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w:t>
      </w:r>
      <w:r>
        <w:rPr>
          <w:rFonts w:ascii="Century" w:hAnsi="Century"/>
        </w:rPr>
        <w:t xml:space="preserve"> y ------------</w:t>
      </w:r>
    </w:p>
    <w:p w:rsidR="00472BD7" w:rsidRDefault="00472BD7" w:rsidP="00472BD7">
      <w:pPr>
        <w:spacing w:line="360" w:lineRule="auto"/>
        <w:jc w:val="both"/>
        <w:rPr>
          <w:rFonts w:ascii="Century" w:hAnsi="Century"/>
        </w:rPr>
      </w:pPr>
    </w:p>
    <w:p w:rsidR="00472BD7" w:rsidRDefault="00472BD7" w:rsidP="00472BD7">
      <w:pPr>
        <w:spacing w:line="360" w:lineRule="auto"/>
        <w:jc w:val="both"/>
        <w:rPr>
          <w:rFonts w:ascii="Century" w:hAnsi="Century"/>
        </w:rPr>
      </w:pPr>
    </w:p>
    <w:p w:rsidR="00472BD7" w:rsidRDefault="00472BD7" w:rsidP="00472BD7">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472BD7" w:rsidRDefault="00472BD7" w:rsidP="00472BD7">
      <w:pPr>
        <w:spacing w:line="360" w:lineRule="auto"/>
        <w:jc w:val="both"/>
        <w:rPr>
          <w:rFonts w:ascii="Century" w:hAnsi="Century"/>
        </w:rPr>
      </w:pPr>
    </w:p>
    <w:p w:rsidR="00472BD7" w:rsidRDefault="00472BD7" w:rsidP="00472BD7">
      <w:pPr>
        <w:spacing w:line="360" w:lineRule="auto"/>
        <w:ind w:firstLine="708"/>
        <w:jc w:val="both"/>
        <w:rPr>
          <w:rFonts w:ascii="Century" w:hAnsi="Century"/>
        </w:rPr>
      </w:pPr>
      <w:r>
        <w:rPr>
          <w:rFonts w:ascii="Century" w:hAnsi="Century" w:cs="Arial"/>
          <w:b/>
        </w:rPr>
        <w:t xml:space="preserve">PRIMERO. </w:t>
      </w:r>
      <w:r>
        <w:rPr>
          <w:rFonts w:ascii="Century" w:hAnsi="Century" w:cs="Arial"/>
        </w:rPr>
        <w:t xml:space="preserve">Mediante escrito presentado </w:t>
      </w:r>
      <w:r>
        <w:rPr>
          <w:rFonts w:ascii="Century" w:hAnsi="Century"/>
        </w:rPr>
        <w:t>en la Oficialía Común de Partes de los Juzgados Administrativos Municipales de León, Guanajuato, en fecha 02 dos de mayo del año 2014 dos mil catorce, la parte actora presentó demanda de nulidad, señalando como acto impugnado la ejecución del mandamiento de embargo por imposición y aplicación de la multa pecuniaria número 0704055 (cero siete cero cuatro cero cinco cinco), no obstante lo anterior, en su escrito de ampliación y aclaración a la demanda señaló que el acto impugnado lo constituye el requerimiento de pago de una multa, y señala como autoridades demandadas señaló al Director General de Ingresos, Director de Ejecución y Ministro Ejecutor. ------------------------------------------------</w:t>
      </w:r>
    </w:p>
    <w:p w:rsidR="00472BD7" w:rsidRDefault="00472BD7" w:rsidP="00472BD7">
      <w:pPr>
        <w:spacing w:line="360" w:lineRule="auto"/>
        <w:ind w:firstLine="708"/>
        <w:jc w:val="both"/>
        <w:rPr>
          <w:rFonts w:ascii="Century" w:hAnsi="Century"/>
          <w:b/>
        </w:rPr>
      </w:pPr>
    </w:p>
    <w:p w:rsidR="00472BD7" w:rsidRDefault="00472BD7" w:rsidP="00472BD7">
      <w:pPr>
        <w:spacing w:line="360" w:lineRule="auto"/>
        <w:ind w:firstLine="709"/>
        <w:jc w:val="both"/>
        <w:rPr>
          <w:rFonts w:ascii="Century" w:hAnsi="Century"/>
        </w:rPr>
      </w:pPr>
      <w:r>
        <w:rPr>
          <w:rFonts w:ascii="Century" w:hAnsi="Century"/>
          <w:b/>
        </w:rPr>
        <w:t xml:space="preserve">SEGUNDO. </w:t>
      </w:r>
      <w:r>
        <w:rPr>
          <w:rFonts w:ascii="Century" w:hAnsi="Century"/>
        </w:rPr>
        <w:t xml:space="preserve">Por auto de fecha 06 seis de mayo de 2014 dos mil catorce, se le formuló requerimiento a la parte actora a efecto de que en el término de 05 cinco días aclare y complete su escrito de demanda en lo siguiente: 1) precise cual es el acto o resolución que impugna ya que en el escrito inicial de demanda señala como acto impugnado la ejecución del mandamiento de embargo, sin embargo, en la documental que adjunta  como pruebas de su intención, exhibe un requerimiento de pago, de fecha 7 siete de marzo del año 2014 dos mil catorce; 2) determinado cuál es el acto que se impugna, anexe el original o copia certificada del mismo, o bien, copia de la solicitud que del acto haya formulado ante la autoridad correspondiente, no contestada por dicha autoridad, lo anterior, apercibiéndole que en caso de no dar cumplimiento a lo </w:t>
      </w:r>
      <w:r>
        <w:rPr>
          <w:rFonts w:ascii="Century" w:hAnsi="Century"/>
        </w:rPr>
        <w:lastRenderedPageBreak/>
        <w:t>requerido, se le tendrá por no presentada la demanda. Asimismo, se le solicitó presentar las copias necesarias del escrito de cumplimiento al requerimiento y sus anexos en su caso para las autoridades que señala como demandadas para correr traslado a las mismas, así como para el duplicado del expediente, de conformidad con lo dispuesto por la fracción I, del artículo 266 del Código de Procedimiento y Justicia Administrativa para el Estado y los Municipios de Guanajuato. -------------------------------------------------------------------------------------</w:t>
      </w:r>
    </w:p>
    <w:p w:rsidR="00472BD7" w:rsidRDefault="00472BD7" w:rsidP="00472BD7">
      <w:pPr>
        <w:spacing w:line="360" w:lineRule="auto"/>
        <w:ind w:firstLine="709"/>
        <w:jc w:val="both"/>
        <w:rPr>
          <w:rFonts w:ascii="Century" w:hAnsi="Century"/>
        </w:rPr>
      </w:pPr>
    </w:p>
    <w:p w:rsidR="00472BD7" w:rsidRDefault="00472BD7" w:rsidP="00472BD7">
      <w:pPr>
        <w:spacing w:line="360" w:lineRule="auto"/>
        <w:ind w:firstLine="709"/>
        <w:jc w:val="both"/>
        <w:rPr>
          <w:rFonts w:ascii="Century" w:hAnsi="Century"/>
        </w:rPr>
      </w:pPr>
      <w:r>
        <w:rPr>
          <w:rFonts w:ascii="Century" w:hAnsi="Century"/>
          <w:b/>
        </w:rPr>
        <w:t>TERCERO.</w:t>
      </w:r>
      <w:r>
        <w:rPr>
          <w:rFonts w:ascii="Century" w:hAnsi="Century"/>
        </w:rPr>
        <w:t xml:space="preserve"> Por auto de fecha 19 diecinueve de mayo del año  2014 dos mil catorce, se tiene al promovente por dando cumplimiento al requerimiento formulado, por lo que se le admite la demanda contra actos de la Dirección de Ejecución y el Ministro Ejecutor, ambos del Municipio de León, Guanajuato, no así en contra del Director General de Ingresos en razón de que ni del requerimiento de pago impugnado, ni de la relación de hechos, se desprende que esa autoridad haya emitido acto administrativo alguno, por lo que la misma no encuadra dentro de lo previsto en el artículo 251, fracción II, inciso a), del Código de Procedimiento y Justicia Administrativa para el Estado y los Municipios de Guanajuato. ---------------------------------------------------------------------</w:t>
      </w:r>
    </w:p>
    <w:p w:rsidR="00472BD7" w:rsidRDefault="00472BD7" w:rsidP="00472BD7">
      <w:pPr>
        <w:spacing w:line="360" w:lineRule="auto"/>
        <w:ind w:firstLine="709"/>
        <w:jc w:val="both"/>
        <w:rPr>
          <w:rFonts w:ascii="Century" w:hAnsi="Century"/>
        </w:rPr>
      </w:pPr>
    </w:p>
    <w:p w:rsidR="00472BD7" w:rsidRDefault="00472BD7" w:rsidP="00472BD7">
      <w:pPr>
        <w:spacing w:line="360" w:lineRule="auto"/>
        <w:ind w:firstLine="709"/>
        <w:jc w:val="both"/>
        <w:rPr>
          <w:rFonts w:ascii="Century" w:hAnsi="Century"/>
        </w:rPr>
      </w:pPr>
      <w:r>
        <w:rPr>
          <w:rFonts w:ascii="Century" w:hAnsi="Century"/>
        </w:rPr>
        <w:t>En tal sentido, se ordenó correr traslado de la misma y sus anexos al Director de Ejecución y Ministro Ejecutor, teniéndole al actor por ofrecida y admitida la prueba documental anexa a su escrito de demanda. Respecto a la suspensión, se determinó conceder una vez que el actor acredite que garantizó el interés fiscal. -----------------------------------------------------------------------------------</w:t>
      </w:r>
    </w:p>
    <w:p w:rsidR="00472BD7" w:rsidRDefault="00472BD7" w:rsidP="00472BD7">
      <w:pPr>
        <w:spacing w:line="360" w:lineRule="auto"/>
        <w:ind w:firstLine="709"/>
        <w:jc w:val="both"/>
        <w:rPr>
          <w:rFonts w:ascii="Century" w:hAnsi="Century"/>
        </w:rPr>
      </w:pPr>
    </w:p>
    <w:p w:rsidR="00472BD7" w:rsidRDefault="00472BD7" w:rsidP="00472BD7">
      <w:pPr>
        <w:spacing w:line="360" w:lineRule="auto"/>
        <w:ind w:firstLine="709"/>
        <w:jc w:val="both"/>
        <w:rPr>
          <w:rFonts w:ascii="Century" w:hAnsi="Century"/>
        </w:rPr>
      </w:pPr>
      <w:r>
        <w:rPr>
          <w:rFonts w:ascii="Century" w:hAnsi="Century"/>
        </w:rPr>
        <w:t xml:space="preserve"> </w:t>
      </w:r>
      <w:r>
        <w:rPr>
          <w:rFonts w:ascii="Century" w:hAnsi="Century"/>
          <w:b/>
        </w:rPr>
        <w:t>CUARTO.</w:t>
      </w:r>
      <w:r>
        <w:rPr>
          <w:rFonts w:ascii="Century" w:hAnsi="Century"/>
        </w:rPr>
        <w:t xml:space="preserve"> En fecha 09 nueve de junio del año 2014 dos mil catorce, se tuvo al Director de Ejecución y Ministro Ejecutor por contestando en tiempo y forma la demanda, admitiéndoles las pruebas ofrecidas en los términos siguientes: 1. La documental admitida a la parte actora, así como la que anexan a sus escritos de contestación, entre las que se encuentran la copia certificada del nombramiento y copia del gafete, pruebas que dada su naturaleza, se tuvieron en ese momento por desahogadas; 2. La presuncional legal y humana, en lo que beneficie a los oferentes; señalándose fecha y hora para la celebración de la audiencia de alegatos. -----------------------------------------</w:t>
      </w:r>
    </w:p>
    <w:p w:rsidR="00472BD7" w:rsidRDefault="00472BD7" w:rsidP="00472BD7">
      <w:pPr>
        <w:spacing w:line="360" w:lineRule="auto"/>
        <w:ind w:firstLine="709"/>
        <w:jc w:val="both"/>
        <w:rPr>
          <w:rFonts w:ascii="Century" w:hAnsi="Century"/>
        </w:rPr>
      </w:pPr>
    </w:p>
    <w:p w:rsidR="00472BD7" w:rsidRDefault="00472BD7" w:rsidP="00472BD7">
      <w:pPr>
        <w:spacing w:line="360" w:lineRule="auto"/>
        <w:ind w:firstLine="709"/>
        <w:jc w:val="both"/>
        <w:rPr>
          <w:rFonts w:ascii="Century" w:hAnsi="Century"/>
        </w:rPr>
      </w:pPr>
    </w:p>
    <w:p w:rsidR="00472BD7" w:rsidRDefault="00472BD7" w:rsidP="00472BD7">
      <w:pPr>
        <w:spacing w:line="360" w:lineRule="auto"/>
        <w:ind w:firstLine="709"/>
        <w:jc w:val="both"/>
        <w:rPr>
          <w:rFonts w:ascii="Century" w:hAnsi="Century" w:cs="Calibri"/>
          <w:b/>
          <w:bCs/>
          <w:iCs/>
        </w:rPr>
      </w:pPr>
      <w:r>
        <w:rPr>
          <w:rFonts w:ascii="Century" w:hAnsi="Century"/>
          <w:b/>
        </w:rPr>
        <w:t>QUINTO.</w:t>
      </w:r>
      <w:r>
        <w:rPr>
          <w:rFonts w:ascii="Century" w:hAnsi="Century"/>
        </w:rPr>
        <w:t xml:space="preserve">  El 26 veintiséis de junio de 2014 dos mil catorce, a las 10:00 diez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472BD7" w:rsidRDefault="00472BD7" w:rsidP="00472BD7">
      <w:pPr>
        <w:pStyle w:val="Textoindependiente"/>
        <w:spacing w:line="360" w:lineRule="auto"/>
        <w:ind w:firstLine="708"/>
        <w:rPr>
          <w:rFonts w:ascii="Century" w:hAnsi="Century" w:cs="Calibri"/>
          <w:b/>
          <w:bCs/>
          <w:iCs/>
          <w:lang w:val="es-ES"/>
        </w:rPr>
      </w:pPr>
    </w:p>
    <w:p w:rsidR="00472BD7" w:rsidRDefault="00472BD7" w:rsidP="00472BD7">
      <w:pPr>
        <w:pStyle w:val="Textoindependiente"/>
        <w:spacing w:line="360" w:lineRule="auto"/>
        <w:ind w:firstLine="708"/>
        <w:rPr>
          <w:rFonts w:ascii="Century" w:hAnsi="Century" w:cs="Calibri"/>
          <w:b/>
          <w:bCs/>
          <w:iCs/>
          <w:lang w:val="es-ES"/>
        </w:rPr>
      </w:pPr>
    </w:p>
    <w:p w:rsidR="00472BD7" w:rsidRDefault="00472BD7" w:rsidP="00472BD7">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472BD7" w:rsidRDefault="00472BD7" w:rsidP="00472BD7">
      <w:pPr>
        <w:pStyle w:val="Textoindependiente"/>
        <w:spacing w:line="360" w:lineRule="auto"/>
        <w:ind w:firstLine="708"/>
        <w:jc w:val="center"/>
        <w:rPr>
          <w:rFonts w:ascii="Century" w:hAnsi="Century" w:cs="Calibri"/>
          <w:b/>
          <w:bCs/>
          <w:iCs/>
        </w:rPr>
      </w:pPr>
    </w:p>
    <w:p w:rsidR="00472BD7" w:rsidRDefault="00472BD7" w:rsidP="00472BD7">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26 veintiséis de septiembre del presente año, el Juzgado Segundo Administrativo Municipal deja de conocer la presente causa administrativa y lo remite a este Juzgado Tercero Administrativo para su prosecución procesal; por lo tanto, este Juzgado resulta competente para tramitar y resolver este proceso, además por impugnarse un acto administrativo emitido por un el Director de Ejecución y Ministro Ejecutor, ambos del Municipio de León, Guanajuato. -----------------------------------------------</w:t>
      </w:r>
    </w:p>
    <w:p w:rsidR="00472BD7" w:rsidRDefault="00472BD7" w:rsidP="00472BD7">
      <w:pPr>
        <w:pStyle w:val="Textoindependiente"/>
        <w:spacing w:line="360" w:lineRule="auto"/>
        <w:rPr>
          <w:rFonts w:ascii="Century" w:hAnsi="Century" w:cs="Calibri"/>
          <w:b/>
          <w:bCs/>
        </w:rPr>
      </w:pPr>
    </w:p>
    <w:p w:rsidR="00472BD7" w:rsidRDefault="00472BD7" w:rsidP="00472BD7">
      <w:pPr>
        <w:pStyle w:val="RESOLUCIONES"/>
        <w:rPr>
          <w:rFonts w:cs="Calibri"/>
        </w:rPr>
      </w:pPr>
      <w:r>
        <w:rPr>
          <w:b/>
        </w:rPr>
        <w:t xml:space="preserve">SEGUNDO. </w:t>
      </w:r>
      <w: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18 dieciocho de marzo de 2014 dos mil catorce.------------------------------------------------------------------------------------------------</w:t>
      </w:r>
    </w:p>
    <w:p w:rsidR="00472BD7" w:rsidRDefault="00472BD7" w:rsidP="00472BD7">
      <w:pPr>
        <w:pStyle w:val="Textoindependiente"/>
        <w:spacing w:line="360" w:lineRule="auto"/>
        <w:ind w:firstLine="708"/>
        <w:rPr>
          <w:rFonts w:ascii="Century" w:hAnsi="Century" w:cs="Calibri"/>
          <w:b/>
          <w:bCs/>
        </w:rPr>
      </w:pPr>
    </w:p>
    <w:p w:rsidR="00472BD7" w:rsidRDefault="00472BD7" w:rsidP="00472BD7">
      <w:pPr>
        <w:pStyle w:val="RESOLUCIONES"/>
      </w:pPr>
      <w:r>
        <w:rPr>
          <w:b/>
          <w:iCs/>
        </w:rPr>
        <w:t xml:space="preserve">TERCERO. </w:t>
      </w:r>
      <w:r>
        <w:t>La existencia del acto impugnado, no obstante a lo señalado por el actor, respecto al acto impugnado, de la documental adjunta a su escrito de demanda se desprende que lo que impugna es el documento determinante del crédito número 0704055 (cero siete cero cuatro cero cinco cinco), la cual es visible en la foja 4 cuatro, del presente sumario, a este instrumento se le concede valor probatorio pleno conforme al artículo 124 del Código de Procedimiento y Justicia Administrativa para el Estado y los Municipios de Guanajuato, pues existe la convicción en quien resuelve respecto a su certeza, habida cuenta que no obstante de que la el Director de Ejecución denomina a dicho documento como requerimiento de pago, admite plenamente al contestar la demanda, que lo emitió, por su parte el ministro ejecutor señala que él lo notificó. -----------------------------------------------------------------------------------------------</w:t>
      </w:r>
    </w:p>
    <w:p w:rsidR="00472BD7" w:rsidRDefault="00472BD7" w:rsidP="00472BD7">
      <w:pPr>
        <w:pStyle w:val="RESOLUCIONES"/>
        <w:rPr>
          <w:rFonts w:cs="Calibri"/>
        </w:rPr>
      </w:pPr>
    </w:p>
    <w:p w:rsidR="00472BD7" w:rsidRDefault="00472BD7" w:rsidP="00472BD7">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 </w:t>
      </w:r>
    </w:p>
    <w:p w:rsidR="00472BD7" w:rsidRDefault="00472BD7" w:rsidP="00472BD7">
      <w:pPr>
        <w:spacing w:line="360" w:lineRule="auto"/>
        <w:jc w:val="both"/>
        <w:rPr>
          <w:rFonts w:ascii="Century" w:hAnsi="Century" w:cs="Calibri"/>
          <w:b/>
          <w:bCs/>
          <w:iCs/>
        </w:rPr>
      </w:pPr>
    </w:p>
    <w:p w:rsidR="00472BD7" w:rsidRDefault="00472BD7" w:rsidP="00472BD7">
      <w:pPr>
        <w:pStyle w:val="RESOLUCIONES"/>
      </w:pPr>
      <w:r>
        <w:rPr>
          <w:b/>
        </w:rPr>
        <w:t xml:space="preserve">CUARTO. </w:t>
      </w:r>
      <w: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w:t>
      </w:r>
      <w:r>
        <w:t>sia planteada. ----------------</w:t>
      </w:r>
      <w:r>
        <w:t xml:space="preserve"> </w:t>
      </w:r>
    </w:p>
    <w:p w:rsidR="00472BD7" w:rsidRDefault="00472BD7" w:rsidP="00472BD7">
      <w:pPr>
        <w:spacing w:line="360" w:lineRule="auto"/>
        <w:ind w:firstLine="708"/>
        <w:jc w:val="both"/>
        <w:rPr>
          <w:rFonts w:ascii="Century" w:hAnsi="Century" w:cs="Calibri"/>
          <w:b/>
          <w:bCs/>
          <w:iCs/>
        </w:rPr>
      </w:pPr>
    </w:p>
    <w:p w:rsidR="00472BD7" w:rsidRDefault="00472BD7" w:rsidP="00472BD7">
      <w:pPr>
        <w:spacing w:line="360" w:lineRule="auto"/>
        <w:ind w:firstLine="708"/>
        <w:jc w:val="both"/>
        <w:rPr>
          <w:rFonts w:ascii="Century" w:hAnsi="Century" w:cs="Calibri"/>
          <w:bCs/>
          <w:iCs/>
        </w:rPr>
      </w:pPr>
      <w:r>
        <w:rPr>
          <w:rFonts w:ascii="Century" w:hAnsi="Century" w:cs="Calibri"/>
          <w:bCs/>
          <w:iCs/>
        </w:rPr>
        <w:t xml:space="preserve">En tal sentido, la autoridad demandada no señala causal de improcedencia y de oficio no se aprecia </w:t>
      </w:r>
      <w:r>
        <w:rPr>
          <w:rStyle w:val="RESOLUCIONESCar"/>
        </w:rPr>
        <w:t>la actualización de alguna causal de improcedencia o sobreseimiento, que impida entrar al estudio del fondo de este asunto, por lo que se procede al análisis de los conceptos de impugnación esgrimidos por el actor. --------------------------------------------------------------------------</w:t>
      </w:r>
    </w:p>
    <w:p w:rsidR="00472BD7" w:rsidRDefault="00472BD7" w:rsidP="00472BD7">
      <w:pPr>
        <w:spacing w:line="360" w:lineRule="auto"/>
        <w:ind w:firstLine="708"/>
        <w:jc w:val="both"/>
        <w:rPr>
          <w:rFonts w:ascii="Century" w:hAnsi="Century" w:cs="Calibri"/>
          <w:b/>
          <w:bCs/>
          <w:iCs/>
        </w:rPr>
      </w:pPr>
    </w:p>
    <w:p w:rsidR="00472BD7" w:rsidRDefault="00472BD7" w:rsidP="00472BD7">
      <w:pPr>
        <w:pStyle w:val="SENTENCIAS"/>
      </w:pPr>
      <w:r>
        <w:t xml:space="preserve">Cabe señalar que la autoridad demandada opone en su escrito de contestación a la demanda excepciones y defensas, por lo que, no obstante que para efectos del juicio contencioso administrativo y, de acuerdo a los señalado por el artículo 280 del Código de Procedimiento y Justicia Administrativa para </w:t>
      </w:r>
      <w:r>
        <w:lastRenderedPageBreak/>
        <w:t>el Estado y los Municipios de Guanajuato, la autoridad demandada al contestar la demanda, debe referirse a las causas de improcedencia y sobreseimiento, relacionadas con los artículos 261 y 262 del mismo ordenamiento, con la finalidad de no incurrir en violaciones procesales, se realizan las siguientes consideraciones respecto a las excepciones y defensas hechas valer por las autoridades demandadas. -------------------------------------------</w:t>
      </w:r>
    </w:p>
    <w:p w:rsidR="00472BD7" w:rsidRDefault="00472BD7" w:rsidP="00472BD7">
      <w:pPr>
        <w:pStyle w:val="RESOLUCIONES"/>
      </w:pPr>
    </w:p>
    <w:p w:rsidR="00472BD7" w:rsidRDefault="00472BD7" w:rsidP="00472BD7">
      <w:pPr>
        <w:pStyle w:val="RESOLUCIONES"/>
      </w:pPr>
      <w:r>
        <w:t xml:space="preserve">Bajo tal contexto, oponen la excepción </w:t>
      </w:r>
      <w:r>
        <w:rPr>
          <w:i/>
        </w:rPr>
        <w:t>“derivada de los artículos 136, 137 y 138 del Código de Procedimiento y Justicia Administrativa para el Estado y los Municipios de Guanajuato, toda vez que el acto que la parte actora pretende impugnar reúne todos y cada uno de los requisitos de los numerales en cita”</w:t>
      </w:r>
      <w:r>
        <w:t>, lo anterior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472BD7" w:rsidRDefault="00472BD7" w:rsidP="00472BD7">
      <w:pPr>
        <w:pStyle w:val="RESOLUCIONES"/>
        <w:rPr>
          <w:rFonts w:ascii="Arial Narrow" w:hAnsi="Arial Narrow"/>
          <w:color w:val="404040"/>
          <w:sz w:val="27"/>
          <w:szCs w:val="27"/>
        </w:rPr>
      </w:pPr>
    </w:p>
    <w:p w:rsidR="00472BD7" w:rsidRDefault="00472BD7" w:rsidP="00472BD7">
      <w:pPr>
        <w:pStyle w:val="SENTENCIAS"/>
      </w:pPr>
      <w:r>
        <w:t xml:space="preserve">Las autoridades demandas también opone como excepción la </w:t>
      </w:r>
      <w:proofErr w:type="spellStart"/>
      <w:r>
        <w:t>Nom</w:t>
      </w:r>
      <w:proofErr w:type="spellEnd"/>
      <w:r>
        <w:t xml:space="preserve"> </w:t>
      </w:r>
      <w:proofErr w:type="spellStart"/>
      <w:r>
        <w:t>Mutati</w:t>
      </w:r>
      <w:proofErr w:type="spellEnd"/>
      <w:r>
        <w:t xml:space="preserve"> </w:t>
      </w:r>
      <w:proofErr w:type="spellStart"/>
      <w:r>
        <w:t>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472BD7" w:rsidRDefault="00472BD7" w:rsidP="00472BD7">
      <w:pPr>
        <w:pStyle w:val="RESOLUCIONES"/>
        <w:rPr>
          <w:b/>
        </w:rPr>
      </w:pPr>
    </w:p>
    <w:p w:rsidR="00472BD7" w:rsidRDefault="00472BD7" w:rsidP="00472BD7">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472BD7" w:rsidRDefault="00472BD7" w:rsidP="00472BD7">
      <w:pPr>
        <w:spacing w:line="360" w:lineRule="auto"/>
        <w:ind w:firstLine="708"/>
        <w:jc w:val="both"/>
        <w:rPr>
          <w:rFonts w:ascii="Century" w:hAnsi="Century" w:cs="Calibri"/>
        </w:rPr>
      </w:pPr>
    </w:p>
    <w:p w:rsidR="00472BD7" w:rsidRDefault="00472BD7" w:rsidP="00472BD7">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se desprende que en fecha 18 dieciocho de marzo del año 2014 dos mil catorce, le fue notificado al actor (aunque menciona que el acto que impugna es la ejecución de mandamiento de embargo), el documento determinante de crédito, número 0704055 (cero siete cero cuatro cero cinco cinco), que corresponde a una multa de fiscalización, por una cantidad de $378.00 (trescientos sesenta y ocho pesos 00/100 M/N). -----------------------------------------------------------------------------------------</w:t>
      </w:r>
    </w:p>
    <w:p w:rsidR="00472BD7" w:rsidRDefault="00472BD7" w:rsidP="00472BD7">
      <w:pPr>
        <w:pStyle w:val="RESOLUCIONES"/>
      </w:pPr>
    </w:p>
    <w:p w:rsidR="00472BD7" w:rsidRDefault="00472BD7" w:rsidP="00472BD7">
      <w:pPr>
        <w:pStyle w:val="RESOLUCIONES"/>
      </w:pPr>
      <w:r>
        <w:t xml:space="preserve"> Así las cosas, la “litis” planteada se hace consistir en determinar la legalidad o ilegalidad del documento determinante del crédito, emitido por el Director de Ejecución. ----------------------------------------------------------------------------</w:t>
      </w:r>
    </w:p>
    <w:p w:rsidR="00472BD7" w:rsidRDefault="00472BD7" w:rsidP="00472BD7">
      <w:pPr>
        <w:pStyle w:val="RESOLUCIONES"/>
      </w:pPr>
    </w:p>
    <w:p w:rsidR="00472BD7" w:rsidRDefault="00472BD7" w:rsidP="00472BD7">
      <w:pPr>
        <w:pStyle w:val="RESOLUCIONES"/>
        <w:rPr>
          <w:rFonts w:cs="Calibri"/>
        </w:rPr>
      </w:pPr>
      <w:r>
        <w:rPr>
          <w:rFonts w:cs="Calibri"/>
          <w:b/>
        </w:rPr>
        <w:t>SEXTO.</w:t>
      </w:r>
      <w:r>
        <w:rPr>
          <w:rFonts w:cs="Calibri"/>
        </w:rPr>
        <w:t xml:space="preserve"> Una vez señalada la litis de la presente causa, se procede al análisis de los conceptos de impugnación. -------------------------------------------------</w:t>
      </w:r>
    </w:p>
    <w:p w:rsidR="00472BD7" w:rsidRDefault="00472BD7" w:rsidP="00472BD7">
      <w:pPr>
        <w:pStyle w:val="SENTENCIAS"/>
      </w:pPr>
    </w:p>
    <w:p w:rsidR="00472BD7" w:rsidRDefault="00472BD7" w:rsidP="00472BD7">
      <w:pPr>
        <w:pStyle w:val="RESOLUCIONES"/>
      </w:pPr>
      <w:r>
        <w:t xml:space="preserve">Resulta oportuno precisar que este Órgano Jurisdiccional tiene la obligación de realizar el análisis integral de la demanda, asumiendo como un </w:t>
      </w:r>
      <w:proofErr w:type="gramStart"/>
      <w:r>
        <w:t>todo los capítulos</w:t>
      </w:r>
      <w:proofErr w:type="gramEnd"/>
      <w:r>
        <w:t xml:space="preserve"> de prestaciones y de hechos; así como el estudio de los documentos exhibidos, a fin de advertir de manera plena lo realmente planteado, en relación a la causa de pedir. ------------------------------------------------</w:t>
      </w:r>
    </w:p>
    <w:p w:rsidR="00472BD7" w:rsidRDefault="00472BD7" w:rsidP="00472BD7">
      <w:pPr>
        <w:pStyle w:val="RESOLUCIONES"/>
      </w:pPr>
    </w:p>
    <w:p w:rsidR="00472BD7" w:rsidRDefault="00472BD7" w:rsidP="00472BD7">
      <w:pPr>
        <w:pStyle w:val="RESOLUCIONES"/>
      </w:pPr>
      <w:r>
        <w:t>En función a la causa de pedir quien resuelve esta constreñido a trabar la litis realmente planteada por el actor. -------------------</w:t>
      </w:r>
      <w:r>
        <w:t>-------------------------------</w:t>
      </w:r>
    </w:p>
    <w:p w:rsidR="00472BD7" w:rsidRDefault="00472BD7" w:rsidP="00472BD7">
      <w:pPr>
        <w:pStyle w:val="RESOLUCIONES"/>
      </w:pPr>
    </w:p>
    <w:p w:rsidR="00472BD7" w:rsidRDefault="00472BD7" w:rsidP="00472BD7">
      <w:pPr>
        <w:pStyle w:val="RESOLUCIONES"/>
      </w:pPr>
      <w:r>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472BD7" w:rsidRDefault="00472BD7" w:rsidP="00472BD7">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w:t>
      </w:r>
      <w:r>
        <w:lastRenderedPageBreak/>
        <w:t xml:space="preserve">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472BD7" w:rsidRDefault="00472BD7" w:rsidP="00472BD7">
      <w:pPr>
        <w:pStyle w:val="RESOLUCIONES"/>
      </w:pPr>
    </w:p>
    <w:p w:rsidR="00472BD7" w:rsidRDefault="00472BD7" w:rsidP="00472BD7">
      <w:pPr>
        <w:pStyle w:val="RESOLUCIONES"/>
      </w:pPr>
    </w:p>
    <w:p w:rsidR="00472BD7" w:rsidRDefault="00472BD7" w:rsidP="00472BD7">
      <w:pPr>
        <w:pStyle w:val="RESOLUCIONES"/>
      </w:pPr>
      <w:r>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472BD7" w:rsidRDefault="00472BD7" w:rsidP="00472BD7">
      <w:pPr>
        <w:pStyle w:val="RESOLUCIONES"/>
      </w:pPr>
    </w:p>
    <w:p w:rsidR="00472BD7" w:rsidRDefault="00472BD7" w:rsidP="00472BD7">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472BD7" w:rsidRDefault="00472BD7" w:rsidP="00472BD7">
      <w:pPr>
        <w:pStyle w:val="RESOLUCIONES"/>
      </w:pPr>
    </w:p>
    <w:p w:rsidR="00472BD7" w:rsidRDefault="00472BD7" w:rsidP="00472BD7">
      <w:pPr>
        <w:pStyle w:val="TESISYJURIS"/>
      </w:pPr>
      <w:r>
        <w:t xml:space="preserve">Contradicción de tesis 50/2010. Entre las sustentadas por los Tribunales Colegiados Segundo del Noveno Circuito, Primero en Materias Civil y de Trabajo del Décimo Séptimo Circuito y Segundo en Materias Penal y </w:t>
      </w:r>
      <w:r>
        <w:lastRenderedPageBreak/>
        <w:t xml:space="preserve">Administrativa del Vigésimo Primer Circuito. 21 de abril de 2010. Unanimidad de cuatro votos. Ausente: Margarita Beatriz Luna Ramos. Ponente: Sergio Salvador Aguirre Anguiano. Secretario: Arnulfo Moreno Flores. </w:t>
      </w:r>
    </w:p>
    <w:p w:rsidR="00472BD7" w:rsidRDefault="00472BD7" w:rsidP="00472BD7">
      <w:pPr>
        <w:pStyle w:val="RESOLUCIONES"/>
      </w:pPr>
    </w:p>
    <w:p w:rsidR="00472BD7" w:rsidRDefault="00472BD7" w:rsidP="00472BD7">
      <w:pPr>
        <w:pStyle w:val="TESISYJURIS"/>
      </w:pPr>
      <w:r>
        <w:t>Tesis de jurisprudencia 58/2010. Aprobada por la Segunda Sala de este Alto Tribunal, en sesión privada del doce de mayo de dos mil diez.»</w:t>
      </w:r>
    </w:p>
    <w:p w:rsidR="00472BD7" w:rsidRDefault="00472BD7" w:rsidP="00472BD7">
      <w:pPr>
        <w:pStyle w:val="RESOLUCIONES"/>
      </w:pPr>
    </w:p>
    <w:p w:rsidR="00472BD7" w:rsidRDefault="00472BD7" w:rsidP="00472BD7">
      <w:pPr>
        <w:pStyle w:val="RESOLUCIONES"/>
      </w:pPr>
    </w:p>
    <w:p w:rsidR="00472BD7" w:rsidRDefault="00472BD7" w:rsidP="00472BD7">
      <w:pPr>
        <w:pStyle w:val="RESOLUCIONES"/>
      </w:pPr>
      <w:r>
        <w:t>Bajo tal contexto y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quien juzga realiza un análisis del ÚNICO concepto de impugnación, en el cual el actor señala: -----------------------------------</w:t>
      </w:r>
    </w:p>
    <w:p w:rsidR="00472BD7" w:rsidRDefault="00472BD7" w:rsidP="00472BD7">
      <w:pPr>
        <w:spacing w:line="360" w:lineRule="auto"/>
        <w:ind w:firstLine="708"/>
        <w:jc w:val="both"/>
        <w:rPr>
          <w:rFonts w:ascii="Century" w:hAnsi="Century" w:cs="Calibri"/>
          <w:bCs/>
          <w:iCs/>
          <w:lang w:val="es-MX"/>
        </w:rPr>
      </w:pPr>
    </w:p>
    <w:p w:rsidR="00472BD7" w:rsidRDefault="00472BD7" w:rsidP="00472BD7">
      <w:pPr>
        <w:pStyle w:val="SENTENCIAS"/>
        <w:rPr>
          <w:i/>
        </w:rPr>
      </w:pPr>
      <w:r>
        <w:rPr>
          <w:i/>
        </w:rPr>
        <w:t xml:space="preserve">“La determinación pura y llana de imponer una sanción económica impuesta y determinadas por la entonces llamada en aquellos años DIRECCIÓN DE FISCALIZACIÓN, lo cual manifiesto BAJO PROTESATA DE DECIR VERDAD, desconozco las cusas por la cuales se me haya impuesto dichas multas, con lo cual se me causa agravio a sabiendas en primer lugar que nunca fui requerido ni jurídica ni formalmente sobre el pago o procedimiento con el cual haya comparecido personalmente o mediante documento legal que me representara, siendo además que dicha multa que se impugna data de una fecha del 19 diecinueve de noviembre del 2004 dos mil cuatro, es decir de hace 9 años con 4 cuatro meses, por lo cual este crédito ha prescrito por el simple paso del tiempo […]” </w:t>
      </w:r>
    </w:p>
    <w:p w:rsidR="00472BD7" w:rsidRDefault="00472BD7" w:rsidP="00472BD7">
      <w:pPr>
        <w:pStyle w:val="SENTENCIAS"/>
        <w:rPr>
          <w:i/>
        </w:rPr>
      </w:pPr>
    </w:p>
    <w:p w:rsidR="00472BD7" w:rsidRDefault="00472BD7" w:rsidP="00472BD7">
      <w:pPr>
        <w:pStyle w:val="SENTENCIAS"/>
        <w:rPr>
          <w:i/>
        </w:rPr>
      </w:pPr>
      <w:r>
        <w:t>El director de ejecución en su contestación a la demanda señala que</w:t>
      </w:r>
      <w:r>
        <w:rPr>
          <w:i/>
        </w:rPr>
        <w:t xml:space="preserve"> “el mismo fue debidamente emitido y notificado, por ende, no se le transgrede derecho alguno de garantía constitucional en perjuicio del impetrante. Además de que aún no ha prescrito el crédito toda vez que la prescripción ha sido interrumpe con cada gestión de cobro que la autoridad ha notificado al ahora actor. Lo cual se acredita con el requerimiento de fecha 14 catorce de mayo de 2014 dos mil catorce (sic)”.</w:t>
      </w:r>
    </w:p>
    <w:p w:rsidR="00472BD7" w:rsidRDefault="00472BD7" w:rsidP="00472BD7">
      <w:pPr>
        <w:pStyle w:val="SENTENCIAS"/>
        <w:rPr>
          <w:i/>
        </w:rPr>
      </w:pPr>
    </w:p>
    <w:p w:rsidR="00472BD7" w:rsidRDefault="00472BD7" w:rsidP="00472BD7">
      <w:pPr>
        <w:pStyle w:val="SENTENCIAS"/>
      </w:pPr>
      <w:r>
        <w:t xml:space="preserve">Quien resuelve considera que le asiste la razón al justiciable, por las siguientes consideraciones: si bien, el actor menciona que el crédito que se le notifica ha prescrito, lo correcto es determinar que han caducado las facultades de la autoridad para determinar el crédito fiscal a la parte actora, para mejor entender dichos conceptos, resulta oportuno hacer referencia a la siguiente jurisprudencia, </w:t>
      </w:r>
      <w:proofErr w:type="spellStart"/>
      <w:r>
        <w:t>emtida</w:t>
      </w:r>
      <w:proofErr w:type="spellEnd"/>
      <w:r>
        <w:t xml:space="preserve"> por los Tribunales Colegiados de Circuito. ----------------</w:t>
      </w:r>
    </w:p>
    <w:p w:rsidR="00472BD7" w:rsidRDefault="00472BD7" w:rsidP="00472BD7">
      <w:pPr>
        <w:pStyle w:val="SENTENCIAS"/>
      </w:pPr>
      <w:r>
        <w:t xml:space="preserve"> </w:t>
      </w:r>
    </w:p>
    <w:p w:rsidR="00472BD7" w:rsidRDefault="00472BD7" w:rsidP="00472BD7">
      <w:pPr>
        <w:pStyle w:val="TESISYJURIS"/>
      </w:pPr>
      <w:r>
        <w:t xml:space="preserve">391776. 886. Tribunales Colegiados de Circuito. Séptima Época. Apéndice de 1995. Tomo III, Parte TCC, Pág. 681. 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del causante, y en otro, una facultad del Fisco. PRIMER TRIBUNAL COLEGIADO EN MATERIA ADMINISTRATIVA DEL PRIMER CIRCUITO. Séptima </w:t>
      </w:r>
      <w:proofErr w:type="spellStart"/>
      <w:r>
        <w:t>Epoca</w:t>
      </w:r>
      <w:proofErr w:type="spellEnd"/>
      <w:r>
        <w:t xml:space="preserve">: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w:t>
      </w:r>
      <w:proofErr w:type="spellStart"/>
      <w:r>
        <w:t>Marnel</w:t>
      </w:r>
      <w:proofErr w:type="spellEnd"/>
      <w:r>
        <w:t>, S. A. 20 de abril de 1976. Unanimidad de votos. Amparo directo 1/77. Industrias Unidas, S. A. 23 de febrero de 1977. Unanimidad de votos.</w:t>
      </w:r>
    </w:p>
    <w:p w:rsidR="00472BD7" w:rsidRDefault="00472BD7" w:rsidP="00472BD7">
      <w:pPr>
        <w:pStyle w:val="SENTENCIAS"/>
      </w:pPr>
    </w:p>
    <w:p w:rsidR="00472BD7" w:rsidRDefault="00472BD7" w:rsidP="00472BD7">
      <w:pPr>
        <w:pStyle w:val="SENTENCIAS"/>
      </w:pPr>
    </w:p>
    <w:p w:rsidR="00472BD7" w:rsidRDefault="00472BD7" w:rsidP="00472BD7">
      <w:pPr>
        <w:pStyle w:val="SENTENCIAS"/>
      </w:pPr>
      <w:r>
        <w:t xml:space="preserve">De lo anterior se desprende lo siguiente: la autoridad exactora debe ejercitar la facultad de determinar el crédito fiscal, y si no lo hace en el término de cinco años, contados a partir de que se realiza el hecho imponible, se actualiza </w:t>
      </w:r>
      <w:r>
        <w:rPr>
          <w:u w:val="single"/>
        </w:rPr>
        <w:t>la caducidad de dichas facultades</w:t>
      </w:r>
      <w:r>
        <w:t>; una vez determinado el crédito fiscal, si no se realiza gestión alguna de cobro al contribuyente el referido crédito prescribe también en el término de cinco años, contados a partir de que se determinó aquél, concretamente, del día en que se notificó al contribuyente dicha liquidación. ----------------------------------------------------------------------------------</w:t>
      </w:r>
    </w:p>
    <w:p w:rsidR="00472BD7" w:rsidRDefault="00472BD7" w:rsidP="00472BD7">
      <w:pPr>
        <w:pStyle w:val="SENTENCIAS"/>
      </w:pPr>
    </w:p>
    <w:p w:rsidR="00472BD7" w:rsidRDefault="00472BD7" w:rsidP="00472BD7">
      <w:pPr>
        <w:pStyle w:val="SENTENCIAS"/>
      </w:pPr>
      <w:r>
        <w:t xml:space="preserve">Bajo tal contexto, en materia municipal, el artículo 39 de la Ley de Hacienda para los Municipios del Estado de Guanajuato establece: </w:t>
      </w:r>
    </w:p>
    <w:p w:rsidR="00472BD7" w:rsidRDefault="00472BD7" w:rsidP="00472BD7">
      <w:pPr>
        <w:jc w:val="both"/>
        <w:rPr>
          <w:rFonts w:ascii="Verdana" w:hAnsi="Verdana" w:cs="Arial"/>
          <w:b/>
          <w:bCs/>
          <w:sz w:val="20"/>
          <w:szCs w:val="20"/>
        </w:rPr>
      </w:pPr>
    </w:p>
    <w:p w:rsidR="00472BD7" w:rsidRDefault="00472BD7" w:rsidP="00472BD7">
      <w:pPr>
        <w:pStyle w:val="TESISYJURIS"/>
        <w:ind w:firstLine="708"/>
      </w:pPr>
      <w:r>
        <w:rPr>
          <w:b/>
        </w:rPr>
        <w:t>ARTÍCULO</w:t>
      </w:r>
      <w:r>
        <w:t xml:space="preserve"> </w:t>
      </w:r>
      <w:r>
        <w:rPr>
          <w:b/>
        </w:rPr>
        <w:t>39.</w:t>
      </w:r>
      <w: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rsidR="00472BD7" w:rsidRDefault="00472BD7" w:rsidP="00472BD7">
      <w:pPr>
        <w:pStyle w:val="TESISYJURIS"/>
      </w:pPr>
    </w:p>
    <w:p w:rsidR="00472BD7" w:rsidRDefault="00472BD7" w:rsidP="00472BD7">
      <w:pPr>
        <w:pStyle w:val="TESISYJURIS"/>
      </w:pPr>
      <w:r>
        <w:t>I. Del día siguiente al en que se hubiere vencido el plazo establecido por las disposiciones fiscales para presentar declaraciones, manifestaciones y avisos;</w:t>
      </w:r>
    </w:p>
    <w:p w:rsidR="00472BD7" w:rsidRDefault="00472BD7" w:rsidP="00472BD7">
      <w:pPr>
        <w:pStyle w:val="TESISYJURIS"/>
      </w:pPr>
    </w:p>
    <w:p w:rsidR="00472BD7" w:rsidRDefault="00472BD7" w:rsidP="00472BD7">
      <w:pPr>
        <w:pStyle w:val="TESISYJURIS"/>
      </w:pPr>
      <w:r>
        <w:t>II. Del día siguiente al en que se produjo el hecho generador del crédito fiscal, si no existiera obligación de presentar declaraciones, manifestaciones o avisos; y</w:t>
      </w:r>
    </w:p>
    <w:p w:rsidR="00472BD7" w:rsidRDefault="00472BD7" w:rsidP="00472BD7">
      <w:pPr>
        <w:pStyle w:val="TESISYJURIS"/>
      </w:pPr>
    </w:p>
    <w:p w:rsidR="00472BD7" w:rsidRDefault="00472BD7" w:rsidP="00472BD7">
      <w:pPr>
        <w:pStyle w:val="TESISYJURIS"/>
      </w:pPr>
      <w:r>
        <w:t>III. Del día siguiente al en que se hubiere cometido la infracción a las disposiciones fiscales, pero si la infracción fuere de carácter continuo, el término correrá a partir del día siguiente al en que hubiere cesado.</w:t>
      </w:r>
    </w:p>
    <w:p w:rsidR="00472BD7" w:rsidRDefault="00472BD7" w:rsidP="00472BD7">
      <w:pPr>
        <w:pStyle w:val="TESISYJURIS"/>
      </w:pPr>
    </w:p>
    <w:p w:rsidR="00472BD7" w:rsidRDefault="00472BD7" w:rsidP="00472BD7">
      <w:pPr>
        <w:pStyle w:val="TESISYJURIS"/>
      </w:pPr>
      <w:r>
        <w:t>Las facultades de las autoridades para investigar hechos de delito en materia fiscal, no se extinguirán conforme a este artículo.</w:t>
      </w:r>
    </w:p>
    <w:p w:rsidR="00472BD7" w:rsidRDefault="00472BD7" w:rsidP="00472BD7">
      <w:pPr>
        <w:pStyle w:val="TESISYJURIS"/>
      </w:pPr>
    </w:p>
    <w:p w:rsidR="00472BD7" w:rsidRDefault="00472BD7" w:rsidP="00472BD7">
      <w:pPr>
        <w:pStyle w:val="TESISYJURIS"/>
      </w:pPr>
      <w:r>
        <w:t>El plazo señalado en este artículo no está sujeto a interrupción y sólo se suspenderá cuando se interponga algún recurso administrativo o juicio.</w:t>
      </w:r>
    </w:p>
    <w:p w:rsidR="00472BD7" w:rsidRDefault="00472BD7" w:rsidP="00472BD7">
      <w:pPr>
        <w:pStyle w:val="TESISYJURIS"/>
      </w:pPr>
    </w:p>
    <w:p w:rsidR="00472BD7" w:rsidRDefault="00472BD7" w:rsidP="00472BD7">
      <w:pPr>
        <w:pStyle w:val="TESISYJURIS"/>
      </w:pPr>
      <w:r>
        <w:t>Los contribuyentes, transcurridos los plazos a que se refiere este artículo podrán solicitar se declare que se han extinguido las facultades de las autoridades fiscales.</w:t>
      </w:r>
    </w:p>
    <w:p w:rsidR="00472BD7" w:rsidRDefault="00472BD7" w:rsidP="00472BD7">
      <w:pPr>
        <w:pStyle w:val="SENTENCIAS"/>
      </w:pPr>
    </w:p>
    <w:p w:rsidR="00472BD7" w:rsidRDefault="00472BD7" w:rsidP="00472BD7">
      <w:pPr>
        <w:pStyle w:val="SENTENCIAS"/>
      </w:pPr>
    </w:p>
    <w:p w:rsidR="00472BD7" w:rsidRDefault="00472BD7" w:rsidP="00472BD7">
      <w:pPr>
        <w:pStyle w:val="SENTENCIAS"/>
      </w:pPr>
      <w:r>
        <w:lastRenderedPageBreak/>
        <w:t>Aunque de manera expresa el artículo mencionado, no hace referencia al concepto de caducidad, lo realiza al establecer los casos en que opera la extinción de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el plazo para que se configure la caducidad es de cinco años y sólo se suspenderá cuando se interponga algún medio de impugnación; dicho plazo inicia a partir del día siguiente al en que se hubiere vencido el plazo 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hubiere cometido la infracción a las disposiciones fiscales, pero si la infracción fuere de carácter continuo, el término correrá a partir del día siguiente al en que hubiere cesado. ----------------------------------------------------</w:t>
      </w:r>
      <w:r>
        <w:t>---------------------------</w:t>
      </w:r>
    </w:p>
    <w:p w:rsidR="00472BD7" w:rsidRDefault="00472BD7" w:rsidP="00472BD7">
      <w:pPr>
        <w:pStyle w:val="SENTENCIAS"/>
      </w:pPr>
    </w:p>
    <w:p w:rsidR="00472BD7" w:rsidRDefault="00472BD7" w:rsidP="00472BD7">
      <w:pPr>
        <w:pStyle w:val="SENTENCIAS"/>
      </w:pPr>
      <w:r>
        <w:t>Ahora bien, en el presente caso, le asiste la razón a la parte actora, ya que el acto impugnado se dictó en contravención a las normas jurídicas aplicables, porque en la fecha en que la demandada notificó la liquidación del crédito fiscal que constituye el acto impugnado, ya había caducado su facultad determinar el crédito fiscal. -------------------------------------</w:t>
      </w:r>
      <w:r>
        <w:t>-------------------------------</w:t>
      </w:r>
    </w:p>
    <w:p w:rsidR="00472BD7" w:rsidRDefault="00472BD7" w:rsidP="00472BD7">
      <w:pPr>
        <w:pStyle w:val="SENTENCIAS"/>
      </w:pPr>
    </w:p>
    <w:p w:rsidR="00472BD7" w:rsidRDefault="00472BD7" w:rsidP="00472BD7">
      <w:pPr>
        <w:pStyle w:val="SENTENCIAS"/>
      </w:pPr>
      <w:r>
        <w:t xml:space="preserve">Lo anterior de acuerdo a lo señalado en los siguientes preceptos de la Ley de Hacienda para los Municipios del Estado de Guanajuato: </w:t>
      </w:r>
    </w:p>
    <w:p w:rsidR="00472BD7" w:rsidRDefault="00472BD7" w:rsidP="00472BD7">
      <w:pPr>
        <w:pStyle w:val="SENTENCIAS"/>
      </w:pPr>
      <w:r>
        <w:t xml:space="preserve"> </w:t>
      </w:r>
    </w:p>
    <w:p w:rsidR="00472BD7" w:rsidRDefault="00472BD7" w:rsidP="00472BD7">
      <w:pPr>
        <w:pStyle w:val="TESISYJURIS"/>
        <w:ind w:firstLine="708"/>
      </w:pPr>
      <w:r>
        <w:rPr>
          <w:b/>
        </w:rPr>
        <w:t>ARTÍCULO</w:t>
      </w:r>
      <w:r>
        <w:t xml:space="preserve"> </w:t>
      </w:r>
      <w:r>
        <w:rPr>
          <w:b/>
        </w:rPr>
        <w:t>24.</w:t>
      </w:r>
      <w: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472BD7" w:rsidRDefault="00472BD7" w:rsidP="00472BD7">
      <w:pPr>
        <w:jc w:val="both"/>
        <w:rPr>
          <w:rFonts w:ascii="Verdana" w:hAnsi="Verdana" w:cs="Arial"/>
          <w:sz w:val="20"/>
          <w:szCs w:val="20"/>
        </w:rPr>
      </w:pPr>
    </w:p>
    <w:p w:rsidR="00472BD7" w:rsidRDefault="00472BD7" w:rsidP="00472BD7">
      <w:pPr>
        <w:jc w:val="both"/>
        <w:rPr>
          <w:rFonts w:ascii="Verdana" w:hAnsi="Verdana" w:cs="Arial"/>
          <w:sz w:val="20"/>
          <w:szCs w:val="20"/>
        </w:rPr>
      </w:pPr>
      <w:r>
        <w:rPr>
          <w:rFonts w:ascii="Verdana" w:hAnsi="Verdana" w:cs="Arial"/>
          <w:sz w:val="20"/>
          <w:szCs w:val="20"/>
        </w:rPr>
        <w:t xml:space="preserve">[…] </w:t>
      </w:r>
    </w:p>
    <w:p w:rsidR="00472BD7" w:rsidRDefault="00472BD7" w:rsidP="00472BD7">
      <w:pPr>
        <w:pStyle w:val="TESISYJURIS"/>
        <w:ind w:firstLine="708"/>
        <w:rPr>
          <w:b/>
        </w:rPr>
      </w:pPr>
    </w:p>
    <w:p w:rsidR="00472BD7" w:rsidRDefault="00472BD7" w:rsidP="00472BD7">
      <w:pPr>
        <w:pStyle w:val="TESISYJURIS"/>
        <w:ind w:firstLine="708"/>
      </w:pPr>
      <w:r>
        <w:rPr>
          <w:b/>
        </w:rPr>
        <w:t>ARTÍCULO</w:t>
      </w:r>
      <w:r>
        <w:t xml:space="preserve"> </w:t>
      </w:r>
      <w:r>
        <w:rPr>
          <w:b/>
        </w:rPr>
        <w:t>43.</w:t>
      </w:r>
      <w:r>
        <w:t xml:space="preserve"> La obligación fiscal nace cuando se realizan los supuestos jurídicos o de hecho previstos en las Leyes Fiscales.</w:t>
      </w:r>
    </w:p>
    <w:p w:rsidR="00472BD7" w:rsidRDefault="00472BD7" w:rsidP="00472BD7">
      <w:pPr>
        <w:pStyle w:val="TESISYJURIS"/>
      </w:pPr>
    </w:p>
    <w:p w:rsidR="00472BD7" w:rsidRDefault="00472BD7" w:rsidP="00472BD7">
      <w:pPr>
        <w:pStyle w:val="TESISYJURIS"/>
        <w:ind w:firstLine="708"/>
      </w:pPr>
      <w:r>
        <w:rPr>
          <w:b/>
        </w:rPr>
        <w:t>ARTÍCULO</w:t>
      </w:r>
      <w:r>
        <w:t xml:space="preserve"> </w:t>
      </w:r>
      <w:r>
        <w:rPr>
          <w:b/>
        </w:rPr>
        <w:t>44.</w:t>
      </w:r>
      <w:r>
        <w:t xml:space="preserve"> El crédito fiscal es la obligación determinada en cantidad líquida conforme a las disposiciones vigentes en el momento de su </w:t>
      </w:r>
      <w:r>
        <w:lastRenderedPageBreak/>
        <w:t>nacimiento, siéndole aplicables las normas sobre procedimientos que se expidan con posterioridad, para efectos de su pago voluntario o del requerimiento del mismo en los términos de Ley.</w:t>
      </w:r>
    </w:p>
    <w:p w:rsidR="00472BD7" w:rsidRDefault="00472BD7" w:rsidP="00472BD7">
      <w:pPr>
        <w:pStyle w:val="TESISYJURIS"/>
        <w:ind w:firstLine="708"/>
      </w:pPr>
    </w:p>
    <w:p w:rsidR="00472BD7" w:rsidRDefault="00472BD7" w:rsidP="00472BD7">
      <w:pPr>
        <w:pStyle w:val="TESISYJURIS"/>
      </w:pPr>
      <w:r>
        <w:t xml:space="preserve"> </w:t>
      </w:r>
      <w:r>
        <w:tab/>
      </w:r>
      <w:r>
        <w:rPr>
          <w:b/>
        </w:rPr>
        <w:t>ARTÍCULO</w:t>
      </w:r>
      <w:r>
        <w:t xml:space="preserve"> </w:t>
      </w:r>
      <w:r>
        <w:rPr>
          <w:b/>
        </w:rPr>
        <w:t>45.</w:t>
      </w:r>
      <w: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472BD7" w:rsidRDefault="00472BD7" w:rsidP="00472BD7">
      <w:pPr>
        <w:jc w:val="both"/>
        <w:rPr>
          <w:rFonts w:ascii="Verdana" w:hAnsi="Verdana" w:cs="Arial"/>
          <w:sz w:val="20"/>
          <w:szCs w:val="20"/>
        </w:rPr>
      </w:pPr>
    </w:p>
    <w:p w:rsidR="00472BD7" w:rsidRDefault="00472BD7" w:rsidP="00472BD7">
      <w:pPr>
        <w:pStyle w:val="SENTENCIAS"/>
      </w:pPr>
      <w:r>
        <w:t>De las normas jurídicas transcritas se desprenden las siguientes premisas:</w:t>
      </w:r>
    </w:p>
    <w:p w:rsidR="00472BD7" w:rsidRDefault="00472BD7" w:rsidP="00472BD7">
      <w:pPr>
        <w:pStyle w:val="SENTENCIAS"/>
      </w:pPr>
    </w:p>
    <w:p w:rsidR="00472BD7" w:rsidRDefault="00472BD7" w:rsidP="00472BD7">
      <w:pPr>
        <w:pStyle w:val="SENTENCIAS"/>
      </w:pPr>
      <w: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472BD7" w:rsidRDefault="00472BD7" w:rsidP="00472BD7">
      <w:pPr>
        <w:pStyle w:val="SENTENCIAS"/>
      </w:pPr>
    </w:p>
    <w:p w:rsidR="00472BD7" w:rsidRDefault="00472BD7" w:rsidP="00472BD7">
      <w:pPr>
        <w:pStyle w:val="SENTENCIAS"/>
      </w:pPr>
      <w:r>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r>
        <w:t>-------------------------------</w:t>
      </w:r>
    </w:p>
    <w:p w:rsidR="00472BD7" w:rsidRDefault="00472BD7" w:rsidP="00472BD7">
      <w:pPr>
        <w:pStyle w:val="SENTENCIAS"/>
      </w:pPr>
      <w:r>
        <w:t xml:space="preserve"> </w:t>
      </w:r>
    </w:p>
    <w:p w:rsidR="00472BD7" w:rsidRDefault="00472BD7" w:rsidP="00472BD7">
      <w:pPr>
        <w:pStyle w:val="SENTENCIAS"/>
      </w:pPr>
      <w:r>
        <w:t>Por tanto, mientras no exista la determinación de un crédito no puede hablarse de prescripción, sino de caducidad de las facultades del fisco, precisamente para hacer esa determinación. ---------------------------------------------</w:t>
      </w:r>
    </w:p>
    <w:p w:rsidR="00472BD7" w:rsidRDefault="00472BD7" w:rsidP="00472BD7">
      <w:pPr>
        <w:pStyle w:val="SENTENCIAS"/>
      </w:pPr>
    </w:p>
    <w:p w:rsidR="00472BD7" w:rsidRDefault="00472BD7" w:rsidP="00472BD7">
      <w:pPr>
        <w:pStyle w:val="SENTENCIAS"/>
      </w:pPr>
      <w:r>
        <w:t xml:space="preserve">En el caso, a la parte actora se le determina un crédito bajo el número 0704055 (cero siete cero cuatro cero cinco cinco), por concepto de una multa de fiscalización, por “PERMITIR EL CONSUMO DE BEB. ALC. SIN ALIMENTOS A EXCEPCION DEL GIRO DE RESTAURANT BAR. VENTA DE BEBIDAS ALCOHOLICAS CON ALIMENT” (sic)., como fecha de la multa </w:t>
      </w:r>
      <w:r>
        <w:lastRenderedPageBreak/>
        <w:t>se establece el 19 diecinueve de noviembre de 2004</w:t>
      </w:r>
      <w:r>
        <w:t xml:space="preserve"> dos mil cuatro. --------------</w:t>
      </w:r>
    </w:p>
    <w:p w:rsidR="00472BD7" w:rsidRDefault="00472BD7" w:rsidP="00472BD7">
      <w:pPr>
        <w:pStyle w:val="SENTENCIAS"/>
      </w:pPr>
    </w:p>
    <w:p w:rsidR="00472BD7" w:rsidRDefault="00472BD7" w:rsidP="00472BD7">
      <w:pPr>
        <w:pStyle w:val="SENTENCIAS"/>
      </w:pPr>
      <w:r>
        <w:t>Cabe señalar que la parte actora manifiesta que previo al acto impugnado, no le fue requerido ni jurídicamente ni formalmente el pago o procedimiento, en tal sentido, de conformidad con lo señalado en el artículo 40 de la Ley de Hacienda para los Municipios del Estado de Guanajuato y 47 del Código de Procedimiento y Justicia Administrativa para el Estado y los Municipios de Guanajuato, las autoridades deberán de probar los hechos que motiven sus actos, en caso de negativa del actor, por lo que correspondía a la autoridad demandada aportar, a la presente causa, las constancias que acrediten que no ha operado la caducidad de sus facultades para determinar el crédito fiscal al justiciable, lo cual no aconteció. ------</w:t>
      </w:r>
      <w:r w:rsidR="008E15EB">
        <w:t>-------------------------------</w:t>
      </w:r>
    </w:p>
    <w:p w:rsidR="00472BD7" w:rsidRDefault="00472BD7" w:rsidP="00472BD7">
      <w:pPr>
        <w:tabs>
          <w:tab w:val="left" w:pos="3975"/>
        </w:tabs>
        <w:spacing w:line="360" w:lineRule="auto"/>
        <w:ind w:firstLine="709"/>
        <w:jc w:val="both"/>
        <w:rPr>
          <w:rFonts w:ascii="Century" w:hAnsi="Century"/>
        </w:rPr>
      </w:pPr>
    </w:p>
    <w:p w:rsidR="00472BD7" w:rsidRDefault="00472BD7" w:rsidP="00472BD7">
      <w:pPr>
        <w:pStyle w:val="SENTENCIAS"/>
      </w:pPr>
      <w:r>
        <w:t>De lo anterior se sigue que, en caso de que la autoridad incumpla con la carga procesal, como es en el caso concreto, de exhibir los documentos que acrediten que no ha operado la caducidad de sus facultades, la consecuencia será que se tengan por ciertos los hechos narrados por el impugnante; ello según la regla prevista en el artículo 47 del Código de Procedimiento y Justicia Administrativa para el Estado y los Municipios de Guanajuato, a que a la letra dispone: ---------------------------------------------------------------</w:t>
      </w:r>
      <w:r w:rsidR="008E15EB">
        <w:t>-------------------------------</w:t>
      </w:r>
    </w:p>
    <w:p w:rsidR="00472BD7" w:rsidRDefault="00472BD7" w:rsidP="00472BD7">
      <w:pPr>
        <w:tabs>
          <w:tab w:val="left" w:pos="3975"/>
        </w:tabs>
        <w:spacing w:line="360" w:lineRule="auto"/>
        <w:ind w:firstLine="709"/>
        <w:jc w:val="both"/>
        <w:rPr>
          <w:rFonts w:ascii="Century" w:hAnsi="Century"/>
        </w:rPr>
      </w:pPr>
    </w:p>
    <w:p w:rsidR="00472BD7" w:rsidRDefault="00472BD7" w:rsidP="00472BD7">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w:t>
      </w:r>
      <w:r>
        <w:rPr>
          <w:rFonts w:ascii="Verdana" w:hAnsi="Verdana" w:cs="Arial"/>
          <w:sz w:val="20"/>
          <w:szCs w:val="20"/>
        </w:rPr>
        <w:t xml:space="preserve"> </w:t>
      </w:r>
      <w:r>
        <w:rPr>
          <w:rFonts w:ascii="Century" w:hAnsi="Century"/>
          <w:i/>
          <w:iCs/>
          <w:lang w:val="es-MX"/>
        </w:rPr>
        <w:t>autoridades administrativas deberán probar los hechos que los motiven cuando el interesado los niegue lisa y llanamente, a menos que la negativa implique la afirmación de otro hecho.</w:t>
      </w:r>
    </w:p>
    <w:p w:rsidR="00472BD7" w:rsidRDefault="00472BD7" w:rsidP="00472BD7">
      <w:pPr>
        <w:tabs>
          <w:tab w:val="left" w:pos="3975"/>
        </w:tabs>
        <w:spacing w:line="360" w:lineRule="auto"/>
        <w:ind w:firstLine="709"/>
        <w:jc w:val="both"/>
        <w:rPr>
          <w:rFonts w:ascii="Century" w:hAnsi="Century"/>
        </w:rPr>
      </w:pPr>
    </w:p>
    <w:p w:rsidR="00472BD7" w:rsidRDefault="00472BD7" w:rsidP="00472BD7">
      <w:pPr>
        <w:tabs>
          <w:tab w:val="left" w:pos="3975"/>
        </w:tabs>
        <w:spacing w:line="360" w:lineRule="auto"/>
        <w:ind w:firstLine="709"/>
        <w:jc w:val="both"/>
        <w:rPr>
          <w:rFonts w:ascii="Century" w:hAnsi="Century"/>
        </w:rPr>
      </w:pPr>
    </w:p>
    <w:p w:rsidR="00472BD7" w:rsidRDefault="00472BD7" w:rsidP="00472BD7">
      <w:pPr>
        <w:pStyle w:val="SENTENCIAS"/>
      </w:pPr>
      <w:r>
        <w:rPr>
          <w:rStyle w:val="RESOLUCIONESCar"/>
        </w:rPr>
        <w:t xml:space="preserve">Bajo tal contexto, si del documento determinante de crédito número 0704055 (cero siete cero cuatro cero cinco cinco), se desprende que la multa tiene su origen en fecha 19 diecinueve de noviembre de 2004 dos mil cuatro, bajo tal premisa, y considerando lo establecido en el artículo 39 fracción II de la Ley de Hacienda para los Municipios del Estado de Guanajuato, las facultades de las autoridades fiscales para determinar la existencia de obligaciones fiscales, señalar las bases de su liquidación o fijarlas en cantidad líquida, se extinguen en el término de cinco años. En el caso en particular </w:t>
      </w:r>
      <w:r>
        <w:rPr>
          <w:rStyle w:val="RESOLUCIONESCar"/>
        </w:rPr>
        <w:lastRenderedPageBreak/>
        <w:t xml:space="preserve">contando del día siguiente al en que se produjo el hecho generador del crédito fiscal, en este caso el término del que disponía la autoridad </w:t>
      </w:r>
      <w:r>
        <w:t xml:space="preserve">para determinar dicho crédito fiscal feneció el 20 veinte de noviembre de 2009 dos mil nueve, no obstante, fue hasta el 18 dieciocho de marzo  de 2014 dos mil catorce, cuando la autoridad demandada determinó, mediante la emisión del acto ahora impugnado, el crédito fiscal al actor por la multa llevada a cabo el </w:t>
      </w:r>
      <w:r>
        <w:rPr>
          <w:rStyle w:val="RESOLUCIONESCar"/>
        </w:rPr>
        <w:t>19 diecinueve de noviembre de 2004 dos mil cuatro</w:t>
      </w:r>
      <w:r>
        <w:t xml:space="preserve">, es decir, cuando ya habían caducado sus facultades para hacerlo, conforme lo prevé la fracción II del artículo 39 de Ley de Hacienda para los Municipios del Estado de Guanajuato. </w:t>
      </w:r>
    </w:p>
    <w:p w:rsidR="00472BD7" w:rsidRDefault="00472BD7" w:rsidP="00472BD7">
      <w:pPr>
        <w:pStyle w:val="SENTENCIAS"/>
      </w:pPr>
    </w:p>
    <w:p w:rsidR="00472BD7" w:rsidRDefault="00472BD7" w:rsidP="00472BD7">
      <w:pPr>
        <w:pStyle w:val="SENTENCIAS"/>
      </w:pPr>
      <w:r>
        <w:t>No pasa desapercibido para quien resuelve la manifestación realizada por el Director de Ejecución en el capítulo de hechos, en el sentido de que al actor ya se le había dejado un requerimiento en fecha 14 catorce de mayo de 2014 dos mil catorce y efectivamente adjunta a su escrito de demanda copia simple de un requerimiento de pago, notificado el 14 catorce de mayo de 2014 dos mil catorce, no obstante dicho requerimiento corresponde al crédito 0705313 (cero siete cero cinco tres uno tres), correspondiente a una multa del 27 veintisiete de diciembre de 2004 dos mil cuatro, acto distinto al que en el presente juicio se impugna, aunado a lo anterior, dicho documento es de fecha posterior al aquí impugnado. ------------------------------------------------------------------</w:t>
      </w:r>
    </w:p>
    <w:p w:rsidR="00472BD7" w:rsidRDefault="00472BD7" w:rsidP="00472BD7">
      <w:pPr>
        <w:pStyle w:val="SENTENCIAS"/>
      </w:pPr>
    </w:p>
    <w:p w:rsidR="00472BD7" w:rsidRDefault="00472BD7" w:rsidP="00472BD7">
      <w:pPr>
        <w:pStyle w:val="SENTENCIAS"/>
      </w:pPr>
      <w:r>
        <w:t xml:space="preserve">Por lo anterior, con fundamento en lo señalado en el artículo 302 fracción IV del Código de Procedimiento y Justicia Administrativa para el Estado y los Municipios de Guanajuato, se decreta la NULIDAD TOTAL, del documento determinante del crédito fiscal </w:t>
      </w:r>
      <w:r>
        <w:rPr>
          <w:rStyle w:val="RESOLUCIONESCar"/>
        </w:rPr>
        <w:t>0704055 (cero siete cero cuatro cero cinco cinco), emitido en fecha 07 de marzo de 2014 dos mil catorce, y notificado el 18 dieciocho de marzo del mismo año. ---------------------------------------------------</w:t>
      </w:r>
    </w:p>
    <w:p w:rsidR="00472BD7" w:rsidRDefault="00472BD7" w:rsidP="00472BD7">
      <w:pPr>
        <w:pStyle w:val="SENTENCIAS"/>
      </w:pPr>
      <w:r>
        <w:t xml:space="preserve"> </w:t>
      </w:r>
    </w:p>
    <w:p w:rsidR="00472BD7" w:rsidRDefault="00472BD7" w:rsidP="00472BD7">
      <w:pPr>
        <w:pStyle w:val="SENTENCIAS"/>
      </w:pPr>
      <w:r>
        <w:t>Bajo ese tenor, resulta fundado el agravio formulado por el actor, aunque no resulta procedente determinar la prescripción, sino de decreta la caducidad de las facultades de las autoridades demandadas. Por ello, las facultades de la autoridad para determinar el crédito fiscal en contra del actor ya no se encuentran vigentes. ----------------------------------</w:t>
      </w:r>
      <w:r w:rsidR="008E15EB">
        <w:t>-------------------------------</w:t>
      </w:r>
    </w:p>
    <w:p w:rsidR="00472BD7" w:rsidRDefault="00472BD7" w:rsidP="00472BD7">
      <w:pPr>
        <w:pStyle w:val="SENTENCIAS"/>
      </w:pPr>
    </w:p>
    <w:p w:rsidR="00472BD7" w:rsidRDefault="00472BD7" w:rsidP="00472BD7">
      <w:pPr>
        <w:pStyle w:val="SENTENCIAS"/>
      </w:pPr>
      <w:r>
        <w:rPr>
          <w:b/>
        </w:rPr>
        <w:lastRenderedPageBreak/>
        <w:t>SÉPTIMO.</w:t>
      </w:r>
      <w:r>
        <w:t xml:space="preserve"> Por lo anteriormente expuesto, se reconoce el derecho a declarar que caducaron las facultades de las autoridades fiscales para requerir el pago crédito número 0704055 (cero siete cero cuatro cero cinco cinco), por concepto de multa de fiscalización, de fecha 19 diecinueve de noviembre de 2004 dos mil cuatro, por un monto de $378.00 (trescientos setenta y ocho pesos 00/100 M/N), al haberse actualizado la caducidad de las facultades de la autoridad para determinar el crédito fiscal mencionado.------------------------------</w:t>
      </w:r>
    </w:p>
    <w:p w:rsidR="00472BD7" w:rsidRDefault="00472BD7" w:rsidP="00472BD7">
      <w:pPr>
        <w:pStyle w:val="SENTENCIAS"/>
      </w:pPr>
    </w:p>
    <w:p w:rsidR="00472BD7" w:rsidRDefault="00472BD7" w:rsidP="00472BD7">
      <w:pPr>
        <w:pStyle w:val="SENTENCIAS"/>
        <w:rPr>
          <w:rFonts w:cs="Calibri"/>
        </w:rPr>
      </w:pPr>
      <w:r>
        <w:rPr>
          <w:rFonts w:cs="Calibri"/>
        </w:rPr>
        <w:t>Por lo expuesto, y con fundamento además en lo dispuesto en los artículos 249, 298, 299, 300 fracción II y V y 302 fracción IV del Código de Procedimiento y Justicia Administrativa para el Estado y los Municipios de Guanajuato, es de resolverse y se: ----------------------------</w:t>
      </w:r>
      <w:r w:rsidR="008E15EB">
        <w:rPr>
          <w:rFonts w:cs="Calibri"/>
        </w:rPr>
        <w:t>-------------------------------</w:t>
      </w:r>
    </w:p>
    <w:p w:rsidR="00472BD7" w:rsidRDefault="00472BD7" w:rsidP="00472BD7">
      <w:pPr>
        <w:pStyle w:val="Textoindependiente"/>
        <w:rPr>
          <w:rFonts w:ascii="Century" w:hAnsi="Century" w:cs="Calibri"/>
        </w:rPr>
      </w:pPr>
    </w:p>
    <w:p w:rsidR="00472BD7" w:rsidRDefault="00472BD7" w:rsidP="00472BD7">
      <w:pPr>
        <w:pStyle w:val="Textoindependiente"/>
        <w:rPr>
          <w:rFonts w:ascii="Century" w:hAnsi="Century" w:cs="Calibri"/>
        </w:rPr>
      </w:pPr>
    </w:p>
    <w:p w:rsidR="00472BD7" w:rsidRDefault="00472BD7" w:rsidP="00472BD7">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472BD7" w:rsidRDefault="00472BD7" w:rsidP="00472BD7">
      <w:pPr>
        <w:pStyle w:val="Textoindependiente"/>
        <w:rPr>
          <w:rFonts w:ascii="Century" w:hAnsi="Century" w:cs="Calibri"/>
        </w:rPr>
      </w:pPr>
    </w:p>
    <w:p w:rsidR="00472BD7" w:rsidRDefault="00472BD7" w:rsidP="00472BD7">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w:t>
      </w:r>
      <w:r w:rsidR="008E15EB">
        <w:rPr>
          <w:rFonts w:ascii="Century" w:hAnsi="Century" w:cs="Calibri"/>
        </w:rPr>
        <w:t>proceso administrativo. ------</w:t>
      </w:r>
    </w:p>
    <w:p w:rsidR="00472BD7" w:rsidRDefault="00472BD7" w:rsidP="00472BD7">
      <w:pPr>
        <w:pStyle w:val="Textoindependiente"/>
        <w:spacing w:line="360" w:lineRule="auto"/>
        <w:ind w:firstLine="709"/>
        <w:rPr>
          <w:rFonts w:ascii="Century" w:hAnsi="Century" w:cs="Calibri"/>
          <w:b/>
          <w:bCs/>
          <w:iCs/>
        </w:rPr>
      </w:pPr>
    </w:p>
    <w:p w:rsidR="00472BD7" w:rsidRDefault="00472BD7" w:rsidP="00472BD7">
      <w:pPr>
        <w:pStyle w:val="Textoindependiente"/>
        <w:spacing w:line="360" w:lineRule="auto"/>
        <w:ind w:firstLine="709"/>
        <w:rPr>
          <w:rFonts w:ascii="Century" w:hAnsi="Century" w:cs="Calibri"/>
        </w:rPr>
      </w:pPr>
      <w:r>
        <w:rPr>
          <w:rFonts w:ascii="Century" w:hAnsi="Century" w:cs="Calibri"/>
          <w:b/>
          <w:bCs/>
          <w:iCs/>
        </w:rPr>
        <w:t xml:space="preserve">SEGUNDO. </w:t>
      </w:r>
      <w:r>
        <w:rPr>
          <w:rFonts w:ascii="Century" w:hAnsi="Century" w:cs="Calibri"/>
        </w:rPr>
        <w:t>Resultó procedente el proceso administrativo promovido por el justiciable, en contra de la resolución contenida en el documento determinante de crédito impugnado. --------------------------------------------------------</w:t>
      </w:r>
    </w:p>
    <w:p w:rsidR="00472BD7" w:rsidRDefault="00472BD7" w:rsidP="00472BD7">
      <w:pPr>
        <w:pStyle w:val="Textoindependiente"/>
        <w:spacing w:line="360" w:lineRule="auto"/>
        <w:ind w:firstLine="708"/>
        <w:rPr>
          <w:rFonts w:ascii="Century" w:hAnsi="Century" w:cs="Calibri"/>
        </w:rPr>
      </w:pPr>
    </w:p>
    <w:p w:rsidR="00472BD7" w:rsidRDefault="00472BD7" w:rsidP="00472BD7">
      <w:pPr>
        <w:pStyle w:val="RESOLUCIONES"/>
        <w:rPr>
          <w:b/>
        </w:rPr>
      </w:pPr>
      <w:r>
        <w:rPr>
          <w:b/>
        </w:rPr>
        <w:t xml:space="preserve">TERCERO. </w:t>
      </w:r>
      <w:r>
        <w:t xml:space="preserve">Se decreta la </w:t>
      </w:r>
      <w:r>
        <w:rPr>
          <w:b/>
        </w:rPr>
        <w:t xml:space="preserve">NULIDAD TOTAL </w:t>
      </w:r>
      <w:r>
        <w:t xml:space="preserve">del documento determinante del crédito fiscal </w:t>
      </w:r>
      <w:r>
        <w:rPr>
          <w:rStyle w:val="RESOLUCIONESCar"/>
        </w:rPr>
        <w:t>0704055 (cero siete cero cuatro cero cinco cinco), emitido en fecha 07 siete de marzo de 2014 dos mil catorce, por los razonamientos expuestos en el considerando Se</w:t>
      </w:r>
      <w:r w:rsidR="008E15EB">
        <w:rPr>
          <w:rStyle w:val="RESOLUCIONESCar"/>
        </w:rPr>
        <w:t xml:space="preserve">xto de la presente resolución. </w:t>
      </w:r>
    </w:p>
    <w:p w:rsidR="00472BD7" w:rsidRDefault="00472BD7" w:rsidP="00472BD7">
      <w:pPr>
        <w:pStyle w:val="Textoindependiente"/>
        <w:spacing w:line="360" w:lineRule="auto"/>
        <w:ind w:firstLine="708"/>
        <w:rPr>
          <w:b/>
        </w:rPr>
      </w:pPr>
    </w:p>
    <w:p w:rsidR="00472BD7" w:rsidRDefault="00472BD7" w:rsidP="00472BD7">
      <w:pPr>
        <w:pStyle w:val="SENTENCIAS"/>
      </w:pPr>
      <w:r>
        <w:rPr>
          <w:b/>
        </w:rPr>
        <w:t>CUARTO.</w:t>
      </w:r>
      <w:r>
        <w:t xml:space="preserve"> Se reconoce el derecho al actor, en términos de lo expuesto en el Considerando Séptimo de esta sentencia. ---------------</w:t>
      </w:r>
      <w:r w:rsidR="008E15EB">
        <w:t>---------------------------</w:t>
      </w:r>
    </w:p>
    <w:p w:rsidR="00472BD7" w:rsidRDefault="00472BD7" w:rsidP="00472BD7">
      <w:pPr>
        <w:pStyle w:val="Textoindependiente"/>
        <w:spacing w:line="360" w:lineRule="auto"/>
        <w:ind w:firstLine="708"/>
      </w:pPr>
    </w:p>
    <w:p w:rsidR="00472BD7" w:rsidRDefault="00472BD7" w:rsidP="00472BD7">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472BD7" w:rsidRDefault="00472BD7" w:rsidP="00472BD7">
      <w:pPr>
        <w:spacing w:line="360" w:lineRule="auto"/>
        <w:jc w:val="both"/>
        <w:rPr>
          <w:rFonts w:ascii="Century" w:hAnsi="Century" w:cs="Calibri"/>
          <w:lang w:val="es-MX"/>
        </w:rPr>
      </w:pPr>
    </w:p>
    <w:p w:rsidR="00472BD7" w:rsidRDefault="00472BD7" w:rsidP="00472BD7">
      <w:pPr>
        <w:pStyle w:val="Textoindependiente"/>
        <w:spacing w:line="360" w:lineRule="auto"/>
        <w:ind w:firstLine="708"/>
        <w:rPr>
          <w:rFonts w:ascii="Century" w:hAnsi="Century" w:cs="Calibri"/>
        </w:rPr>
      </w:pPr>
      <w:r>
        <w:rPr>
          <w:rFonts w:ascii="Century" w:hAnsi="Century" w:cs="Calibri"/>
        </w:rPr>
        <w:lastRenderedPageBreak/>
        <w:t xml:space="preserve">En su oportunidad, archívese este expediente, como asunto totalmente concluido y </w:t>
      </w:r>
      <w:proofErr w:type="spellStart"/>
      <w:r>
        <w:rPr>
          <w:rFonts w:ascii="Century" w:hAnsi="Century" w:cs="Calibri"/>
        </w:rPr>
        <w:t>dése</w:t>
      </w:r>
      <w:proofErr w:type="spellEnd"/>
      <w:r>
        <w:rPr>
          <w:rFonts w:ascii="Century" w:hAnsi="Century" w:cs="Calibri"/>
        </w:rPr>
        <w:t xml:space="preserve"> de baja en el Libro de Registros que se lleva para tal efecto. –</w:t>
      </w:r>
    </w:p>
    <w:p w:rsidR="00472BD7" w:rsidRDefault="00472BD7" w:rsidP="00472BD7">
      <w:pPr>
        <w:pStyle w:val="Textoindependiente"/>
        <w:spacing w:line="360" w:lineRule="auto"/>
        <w:rPr>
          <w:rFonts w:ascii="Century" w:hAnsi="Century" w:cs="Calibri"/>
        </w:rPr>
      </w:pPr>
    </w:p>
    <w:p w:rsidR="00472BD7" w:rsidRDefault="00472BD7" w:rsidP="00472BD7">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sidR="008E15EB">
        <w:rPr>
          <w:rFonts w:ascii="Century" w:hAnsi="Century" w:cs="Calibri"/>
        </w:rPr>
        <w:t>quien da fe. --</w:t>
      </w:r>
    </w:p>
    <w:p w:rsidR="00472BD7" w:rsidRDefault="00472BD7" w:rsidP="00472BD7">
      <w:pPr>
        <w:pStyle w:val="RESOLUCIONES"/>
      </w:pPr>
    </w:p>
    <w:p w:rsidR="007F2778" w:rsidRDefault="00472BD7">
      <w:r>
        <w:t xml:space="preserve"> </w:t>
      </w:r>
    </w:p>
    <w:sectPr w:rsidR="007F2778" w:rsidSect="00203B54">
      <w:pgSz w:w="12242" w:h="20163" w:code="5"/>
      <w:pgMar w:top="3402"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D7"/>
    <w:rsid w:val="000F0C37"/>
    <w:rsid w:val="00130147"/>
    <w:rsid w:val="00203B54"/>
    <w:rsid w:val="00472BD7"/>
    <w:rsid w:val="00580BB6"/>
    <w:rsid w:val="005B3ABB"/>
    <w:rsid w:val="00683CAA"/>
    <w:rsid w:val="007F2778"/>
    <w:rsid w:val="008E15EB"/>
    <w:rsid w:val="00912179"/>
    <w:rsid w:val="009C1C5B"/>
    <w:rsid w:val="00A0778B"/>
    <w:rsid w:val="00A704E9"/>
    <w:rsid w:val="00B30D54"/>
    <w:rsid w:val="00BA3DFC"/>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C46B"/>
  <w15:chartTrackingRefBased/>
  <w15:docId w15:val="{4748D5E8-4A52-4CD4-A3E3-26968BD4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BD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472BD7"/>
    <w:pPr>
      <w:jc w:val="both"/>
    </w:pPr>
    <w:rPr>
      <w:lang w:val="es-MX"/>
    </w:rPr>
  </w:style>
  <w:style w:type="character" w:customStyle="1" w:styleId="TextoindependienteCar">
    <w:name w:val="Texto independiente Car"/>
    <w:basedOn w:val="Fuentedeprrafopredeter"/>
    <w:link w:val="Textoindependiente"/>
    <w:semiHidden/>
    <w:rsid w:val="00472BD7"/>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472BD7"/>
    <w:rPr>
      <w:rFonts w:ascii="Century" w:eastAsia="Calibri" w:hAnsi="Century" w:cs="Times New Roman"/>
      <w:sz w:val="24"/>
      <w:szCs w:val="24"/>
      <w:lang w:eastAsia="es-ES"/>
    </w:rPr>
  </w:style>
  <w:style w:type="paragraph" w:customStyle="1" w:styleId="RESOLUCIONES">
    <w:name w:val="RESOLUCIONES"/>
    <w:basedOn w:val="Textoindependiente"/>
    <w:link w:val="RESOLUCIONESCar"/>
    <w:qFormat/>
    <w:rsid w:val="00472BD7"/>
    <w:pPr>
      <w:spacing w:line="360" w:lineRule="auto"/>
      <w:ind w:firstLine="708"/>
    </w:pPr>
    <w:rPr>
      <w:rFonts w:ascii="Century" w:hAnsi="Century"/>
    </w:rPr>
  </w:style>
  <w:style w:type="paragraph" w:customStyle="1" w:styleId="TESISYJURIS">
    <w:name w:val="TESIS Y JURIS"/>
    <w:basedOn w:val="Normal"/>
    <w:qFormat/>
    <w:rsid w:val="00472BD7"/>
    <w:pPr>
      <w:shd w:val="clear" w:color="auto" w:fill="FFFFFF"/>
      <w:jc w:val="both"/>
    </w:pPr>
    <w:rPr>
      <w:rFonts w:ascii="Century" w:hAnsi="Century" w:cs="Helvetica"/>
      <w:bCs/>
      <w:i/>
    </w:rPr>
  </w:style>
  <w:style w:type="paragraph" w:customStyle="1" w:styleId="SENTENCIAS">
    <w:name w:val="SENTENCIAS"/>
    <w:basedOn w:val="Normal"/>
    <w:qFormat/>
    <w:rsid w:val="00472BD7"/>
    <w:pPr>
      <w:spacing w:line="360" w:lineRule="auto"/>
      <w:ind w:firstLine="708"/>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6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5364</Words>
  <Characters>29504</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2018-01-31T14:57:00Z</dcterms:created>
  <dcterms:modified xsi:type="dcterms:W3CDTF">2018-01-31T15:08:00Z</dcterms:modified>
</cp:coreProperties>
</file>